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Cybersecurity Incident</w:t>
      </w:r>
    </w:p>
    <w:p>
      <w:r>
        <w:t>Use for suspected phishing, malware, unauthorized access, credential compromise, or security events. Escalate immediately under the incident-response plan.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Initial report</w:t>
      </w:r>
    </w:p>
    <w:p>
      <w:pPr>
        <w:spacing w:after="100"/>
      </w:pPr>
      <w:r>
        <w:rPr>
          <w:b/>
        </w:rPr>
        <w:t xml:space="preserve">Incident ID, severity, detection time, reporter, systems/accounts/data potentially affected: </w:t>
      </w:r>
      <w:r>
        <w:t>____________________________________________________________</w:t>
      </w:r>
    </w:p>
    <w:p>
      <w:pPr>
        <w:pStyle w:val="Heading1"/>
      </w:pPr>
      <w:r>
        <w:t>Indicators</w:t>
      </w:r>
    </w:p>
    <w:p>
      <w:pPr>
        <w:spacing w:after="100"/>
      </w:pPr>
      <w:r>
        <w:rPr>
          <w:b/>
        </w:rPr>
        <w:t xml:space="preserve">Observed behavior, suspicious email/URL/file hash/IP/event ID where relevant, known facts versus assumptions: </w:t>
      </w:r>
      <w:r>
        <w:t>____________________________________________________________</w:t>
      </w:r>
    </w:p>
    <w:p>
      <w:pPr>
        <w:pStyle w:val="Heading1"/>
      </w:pPr>
      <w:r>
        <w:t>Containment</w:t>
      </w:r>
    </w:p>
    <w:p>
      <w:pPr>
        <w:spacing w:after="100"/>
      </w:pPr>
      <w:r>
        <w:rPr>
          <w:b/>
        </w:rPr>
        <w:t xml:space="preserve">Authorized actions, account/session revocation, device isolation, security lead notified, time of escalation: </w:t>
      </w:r>
      <w:r>
        <w:t>____________________________________________________________</w:t>
      </w:r>
    </w:p>
    <w:p>
      <w:pPr>
        <w:pStyle w:val="Heading1"/>
      </w:pPr>
      <w:r>
        <w:t>Scope and impact</w:t>
      </w:r>
    </w:p>
    <w:p>
      <w:pPr>
        <w:spacing w:after="100"/>
      </w:pPr>
      <w:r>
        <w:rPr>
          <w:b/>
        </w:rPr>
        <w:t xml:space="preserve">Confidentiality, integrity, availability impact, data categories, affected parties, confidence level: </w:t>
      </w:r>
      <w:r>
        <w:t>____________________________________________________________</w:t>
      </w:r>
    </w:p>
    <w:p>
      <w:pPr>
        <w:pStyle w:val="Heading1"/>
      </w:pPr>
      <w:r>
        <w:t>Evidence handling</w:t>
      </w:r>
    </w:p>
    <w:p>
      <w:pPr>
        <w:spacing w:after="100"/>
      </w:pPr>
      <w:r>
        <w:rPr>
          <w:b/>
        </w:rPr>
        <w:t xml:space="preserve">Evidence location, custodian, timestamps, access restrictions, chain-of-custody record if required: </w:t>
      </w:r>
      <w:r>
        <w:t>____________________________________________________________</w:t>
      </w:r>
    </w:p>
    <w:p>
      <w:pPr>
        <w:pStyle w:val="Heading1"/>
      </w:pPr>
      <w:r>
        <w:t>Investigation and recovery</w:t>
      </w:r>
    </w:p>
    <w:p>
      <w:pPr>
        <w:spacing w:after="100"/>
      </w:pPr>
      <w:r>
        <w:rPr>
          <w:b/>
        </w:rPr>
        <w:t xml:space="preserve">Timeline, initial access method, root cause status, eradication, recovery validation: </w:t>
      </w:r>
      <w:r>
        <w:t>____________________________________________________________</w:t>
      </w:r>
    </w:p>
    <w:p>
      <w:pPr>
        <w:pStyle w:val="Heading1"/>
      </w:pPr>
      <w:r>
        <w:t>Notifications and prevention</w:t>
      </w:r>
    </w:p>
    <w:p>
      <w:pPr>
        <w:spacing w:after="100"/>
      </w:pPr>
      <w:r>
        <w:rPr>
          <w:b/>
        </w:rPr>
        <w:t xml:space="preserve">Privacy/legal assessment, notification decision owner, detection improvements, action owner and due date: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